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B67D3B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B2F0C">
        <w:rPr>
          <w:b/>
          <w:sz w:val="18"/>
          <w:szCs w:val="18"/>
        </w:rPr>
        <w:t>„</w:t>
      </w:r>
      <w:bookmarkEnd w:id="0"/>
      <w:r w:rsidR="00AB2F0C">
        <w:rPr>
          <w:b/>
          <w:sz w:val="18"/>
          <w:szCs w:val="18"/>
        </w:rPr>
        <w:t xml:space="preserve">Dobíjecí stanice pro OŘ OVA 2025“ </w:t>
      </w:r>
      <w:r w:rsidR="00AB2F0C">
        <w:rPr>
          <w:sz w:val="18"/>
          <w:szCs w:val="18"/>
        </w:rPr>
        <w:t xml:space="preserve">č.j. 15750/2025-SŽ-OŘ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4502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101D8"/>
    <w:rsid w:val="00A51739"/>
    <w:rsid w:val="00AB2F0C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2025-04-11T12:23:00Z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